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b/>
          <w:bCs/>
          <w:sz w:val="24"/>
          <w:szCs w:val="24"/>
          <w:lang w:eastAsia="ru-RU"/>
        </w:rPr>
        <w:t>Прием заявок осуществляется с 2 марта по 3 апреля 2019 года.</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Конкурс проводит администрация Абатского муниципального района в лице отдела экономики и прогнозирования администрации Абатского муниципального района, который является организатором Конкурса (далее – Организатор Конкурса).</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F66D5">
        <w:rPr>
          <w:rFonts w:ascii="Times New Roman" w:eastAsia="Times New Roman" w:hAnsi="Times New Roman" w:cs="Times New Roman"/>
          <w:sz w:val="24"/>
          <w:szCs w:val="24"/>
          <w:lang w:eastAsia="ru-RU"/>
        </w:rPr>
        <w:t>Право на получение субсидии имеют субъекты МСП, 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крестьянские (фермерские) хозяйства, соответствующие требованиям статьи 4 Федерального закона от 24.07.2007 № 209-ФЗ «О развитии малого</w:t>
      </w:r>
      <w:proofErr w:type="gramEnd"/>
      <w:r w:rsidRPr="00CF66D5">
        <w:rPr>
          <w:rFonts w:ascii="Times New Roman" w:eastAsia="Times New Roman" w:hAnsi="Times New Roman" w:cs="Times New Roman"/>
          <w:sz w:val="24"/>
          <w:szCs w:val="24"/>
          <w:lang w:eastAsia="ru-RU"/>
        </w:rPr>
        <w:t xml:space="preserve"> и среднего предпринимательства в Российской Федерации», зарегистрированные на территории Абатского муниципального района в установленном законом </w:t>
      </w:r>
      <w:proofErr w:type="gramStart"/>
      <w:r w:rsidRPr="00CF66D5">
        <w:rPr>
          <w:rFonts w:ascii="Times New Roman" w:eastAsia="Times New Roman" w:hAnsi="Times New Roman" w:cs="Times New Roman"/>
          <w:sz w:val="24"/>
          <w:szCs w:val="24"/>
          <w:lang w:eastAsia="ru-RU"/>
        </w:rPr>
        <w:t>порядке</w:t>
      </w:r>
      <w:proofErr w:type="gramEnd"/>
      <w:r w:rsidRPr="00CF66D5">
        <w:rPr>
          <w:rFonts w:ascii="Times New Roman" w:eastAsia="Times New Roman" w:hAnsi="Times New Roman" w:cs="Times New Roman"/>
          <w:sz w:val="24"/>
          <w:szCs w:val="24"/>
          <w:lang w:eastAsia="ru-RU"/>
        </w:rPr>
        <w:t xml:space="preserve"> и осуществляющие свою деятельность на территории муниципального района на дату подачи заявки не менее 3 лет.</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 xml:space="preserve">Право на получение субсидии имеют субъекты МСП осуществляющие следующие виды экономической деятельности, установленные приказом Федерального агентства по техническому регулированию и метрологии Министерства промышленности и торговли Российской Федерации от 31.01.2014 № 14-ст «О принятии и введении в действие Общероссийского классификатора видов экономической деятельности (ОКВЭД2) </w:t>
      </w:r>
      <w:proofErr w:type="gramStart"/>
      <w:r w:rsidRPr="00CF66D5">
        <w:rPr>
          <w:rFonts w:ascii="Times New Roman" w:eastAsia="Times New Roman" w:hAnsi="Times New Roman" w:cs="Times New Roman"/>
          <w:sz w:val="24"/>
          <w:szCs w:val="24"/>
          <w:lang w:eastAsia="ru-RU"/>
        </w:rPr>
        <w:t>ОК</w:t>
      </w:r>
      <w:proofErr w:type="gramEnd"/>
      <w:r w:rsidRPr="00CF66D5">
        <w:rPr>
          <w:rFonts w:ascii="Times New Roman" w:eastAsia="Times New Roman" w:hAnsi="Times New Roman" w:cs="Times New Roman"/>
          <w:sz w:val="24"/>
          <w:szCs w:val="24"/>
          <w:lang w:eastAsia="ru-RU"/>
        </w:rPr>
        <w:t xml:space="preserve"> 029-2014 (КДЕС ред. 2) и Общероссийского классификатора продукции по видам экономической деятельности (ОКПД2) ОК 034-2014 (КПЕС 2008)»:</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01.13.11 Выращивание овощей закрытого грунта.</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01.13.31 Выращивание картофеля.</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01.49.1 Пчеловодство.</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01.50 Смешанное сельское хозяйство.</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01.62 Предоставление услуг в области растениеводстве.</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02 Лесоводство и лесозаготовки.</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02.30.12 Сбор и заготовка дикорастущих плодов, ягод.</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02.30.13 Сбор и заготовка дикорастущих орехов.</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03.12 Рыболовство пресноводное.</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10 Производство пищевых продуктов.</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10.7 Производство хлебобулочных и мучных кондитерских изделий.</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10.9 Производство готовых кормов для животных.</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lastRenderedPageBreak/>
        <w:t>10.11.1 Производство мяса в охлажденном виде.</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13 Производство текстильных изделий.</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14 Производство одежды.</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16 Обработка древесины и производство изделий из дерева и пробки, кроме мебели, производство изделий из соломки и материалов для плетения.</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25 Производство готовых металлических изделий, кроме машин и оборудования.</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30 Производство прочих транспортных средств и оборудования.</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31 Производство мебели.</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32 Производство прочих готовых изделий.</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33 Ремонт и монтаж машин и оборудования.</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36 Забор, очистка и распределение воды.</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37 Сбор и обработка сточных вод.</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38 Сбор, обработка и утилизация отходов; обработка вторичного сырья.</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39 Предоставление услуг в области ликвидации последствий загрязнений и прочих услуг, связанных с удалением отходов.</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42.21 Строительство инженерных коммуникаций для водоснабжения и водоотведения, газоснабжения.</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43.21 Производство электромонтажных работ.</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45.20.2 Техническое обслуживание и ремонт прочих автотранспортных средств</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46.11.39 Деятельность агентов по оптовой торговле прочими сельскохозяйственным сырьем и сельскохозяйственными полуфабрикатами, не включенными в другие группировки.</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49.31 Деятельность сухопутного пассажирского транспорта: внутригородские и междугородние перевозки пассажиров.</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56.29.2 Деятельность столовых и буфетов при предприятиях и учреждениях.</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75 Деятельность ветеринарная.</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85 Образование.</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85.42.1 Деятельность школ подготовки водителей автотранспортных средств.</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86 Деятельность в области здравоохранения.</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lastRenderedPageBreak/>
        <w:t>86.23 Стоматологическая практика.</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88 Предоставление социальных услуг без обеспечения проживания.</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90 Деятельность творческая, деятельность в области искусства и организации развлечений.</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93 Деятельность в области спорта, отдыха и развлечений.</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96.03 Организация похорон и предоставление связанных с ними услуг.</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Для участия в Конкурсе заявитель представляет Организатору Конкурса заявку на участие в Конкурсе и следующий пакет документов:</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 Заявка на участие в конкурсе в соответствии с приложением утвержденной формы и описью документов.</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2. Описание деятельности в произвольной форме (не более 3 страниц).</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3. Документы, подтверждающие полномочия лица, подписавшего заявку:</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 для юридических лиц – копии решения об избрании руководителя, протокола общего собрания, приказа о назначении на должность руководителя;</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 для индивидуальных предпринимателей – копия паспорта гражданина Российской Федерации.</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4. Доверенность (в случае, если заявка оформляется и (или) подается представителем заявителя).</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5. Реестры сведений о доходах физических лиц со справками о доходах физических лиц и суммами начисленных и удержанных налогов с доходов физических лиц по форме 2-НДФЛ за 2 предыдущих года</w:t>
      </w:r>
      <w:r w:rsidRPr="00CF66D5">
        <w:rPr>
          <w:rFonts w:ascii="Times New Roman" w:eastAsia="Times New Roman" w:hAnsi="Times New Roman" w:cs="Times New Roman"/>
          <w:i/>
          <w:iCs/>
          <w:sz w:val="24"/>
          <w:szCs w:val="24"/>
          <w:lang w:eastAsia="ru-RU"/>
        </w:rPr>
        <w:t>.</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 xml:space="preserve">6. </w:t>
      </w:r>
      <w:proofErr w:type="gramStart"/>
      <w:r w:rsidRPr="00CF66D5">
        <w:rPr>
          <w:rFonts w:ascii="Times New Roman" w:eastAsia="Times New Roman" w:hAnsi="Times New Roman" w:cs="Times New Roman"/>
          <w:sz w:val="24"/>
          <w:szCs w:val="24"/>
          <w:lang w:eastAsia="ru-RU"/>
        </w:rPr>
        <w:t>Копии годовой бухгалтерской отчетности (форма № 1 «Бухгалтерский баланс» и № 2 «Отчет о прибылях и убытках») или документы, замещающие ее при применении специального налогового режима, за 2 предыдущих года с отметкой налогового органа или с приложением копии уведомления, подтверждающего направление документов в налоговые органы по почте или в электронном виде, заверенные заявителем.</w:t>
      </w:r>
      <w:proofErr w:type="gramEnd"/>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7. Копии договоров, подлежащих субсидированию (заключенных не ранее, чем за 1 год до начала текущего финансового года).</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8. Выписку из Единого государственного реестра юридических лиц или индивидуальных предпринимателей, полученную не ранее чем за 10 дней до даты представления документов.</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 xml:space="preserve">9. Справку налогового органа об отсутствии задолженности по налоговым и иным обязательным платежам в бюджетную систему Российской Федерации (если в справке </w:t>
      </w:r>
      <w:r w:rsidRPr="00CF66D5">
        <w:rPr>
          <w:rFonts w:ascii="Times New Roman" w:eastAsia="Times New Roman" w:hAnsi="Times New Roman" w:cs="Times New Roman"/>
          <w:sz w:val="24"/>
          <w:szCs w:val="24"/>
          <w:lang w:eastAsia="ru-RU"/>
        </w:rPr>
        <w:lastRenderedPageBreak/>
        <w:t>отражена задолженность, представляются копии платежных документов об оплате данной задолженности), полученную не ранее чем за 10 дней до даты представления документов.</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10. Справку об отсутствии задолженности по страховым взносам перед Фондом социального страхования Российской Федерации, полученную не ранее чем за 10 дней до даты представления документов.</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11. Справку об отсутствии задолженности по страховым взносам перед Пенсионным Фондом Российской Федерации, полученную не ранее чем за 10 дней до даты представления документов.</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12. Справку управления имущественных отношений администрации Абатского муниципального района об отсутствии задолженности по арендной плате за пользование муниципальным имуществом, полученную не ранее, чем за 10 дней до даты представления документов, или подтверждение об отсутствии взаимоотношений с управлением имущественных отношений администрации Абатского муниципального района.</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13. Сведения о среднесписочной численности работников за 2 предыдущих календарных года с отметкой территориального налогового органа или с приложением копии уведомления, подтверждающего направление документов в налоговые органы по почте или в электронном виде. Для индивидуальных предпринимателей, при отсутствии работников – информационное письмо, подтверждающее отсутствие сотрудников.</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14. Копии годовых деклараций по налогам и страховым взносам за 2 предыдущих года с отметкой о принятии соответствующего органа</w:t>
      </w:r>
      <w:r w:rsidRPr="00CF66D5">
        <w:rPr>
          <w:rFonts w:ascii="Times New Roman" w:eastAsia="Times New Roman" w:hAnsi="Times New Roman" w:cs="Times New Roman"/>
          <w:i/>
          <w:iCs/>
          <w:sz w:val="24"/>
          <w:szCs w:val="24"/>
          <w:lang w:eastAsia="ru-RU"/>
        </w:rPr>
        <w:t>.</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15. Дополнительно заявитель представляет документы, подтверждающие понесенные расходы, в зависимости от субсидируемых затрат:</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15.1. На возмещение части затрат по договорам на приобретение нового оборудования, исключая затраты на его монтаж:</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 копии документов: договоры купли-продажи оборудования, акты приема-передачи оборудования, товарно-транспортные накладные, акты ввода оборудования в эксплуатацию, паспорт самоходной машины, заверенные заявителем;</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 копии платежных документов, подтверждающих оплату оборудования заверенные заявителем;</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 фотографии объектов в цифровом формате (при их наличии);</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 расчет размера финансовой поддержки в виде субсидии на возмещение части затрат на приобретение оборудования согласно приложению № 3 к настоящему Порядку;</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 технико-экономическое обоснование приобретения оборудования, в целях развития, и (или) модернизации производства.</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16. Пакет документов на участие в конкурсе должен быть прошит, пронумерован и скреплен подписью заявителя.</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lastRenderedPageBreak/>
        <w:t>Максимальный размер субсидии не может превышать 50 % документально подтвержденных затрат. Максимальный размер субсидии по договорам на приобретение нового оборудования – не более 300 тыс. рублей в год.</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 xml:space="preserve">Консультации можно получить при личном или письменном обращении в отдел экономики и прогнозирования Абатского муниципального района по адресу: </w:t>
      </w:r>
      <w:proofErr w:type="spellStart"/>
      <w:r w:rsidRPr="00CF66D5">
        <w:rPr>
          <w:rFonts w:ascii="Times New Roman" w:eastAsia="Times New Roman" w:hAnsi="Times New Roman" w:cs="Times New Roman"/>
          <w:sz w:val="24"/>
          <w:szCs w:val="24"/>
          <w:lang w:eastAsia="ru-RU"/>
        </w:rPr>
        <w:t>с</w:t>
      </w:r>
      <w:proofErr w:type="gramStart"/>
      <w:r w:rsidRPr="00CF66D5">
        <w:rPr>
          <w:rFonts w:ascii="Times New Roman" w:eastAsia="Times New Roman" w:hAnsi="Times New Roman" w:cs="Times New Roman"/>
          <w:sz w:val="24"/>
          <w:szCs w:val="24"/>
          <w:lang w:eastAsia="ru-RU"/>
        </w:rPr>
        <w:t>.А</w:t>
      </w:r>
      <w:proofErr w:type="gramEnd"/>
      <w:r w:rsidRPr="00CF66D5">
        <w:rPr>
          <w:rFonts w:ascii="Times New Roman" w:eastAsia="Times New Roman" w:hAnsi="Times New Roman" w:cs="Times New Roman"/>
          <w:sz w:val="24"/>
          <w:szCs w:val="24"/>
          <w:lang w:eastAsia="ru-RU"/>
        </w:rPr>
        <w:t>батское</w:t>
      </w:r>
      <w:proofErr w:type="spellEnd"/>
      <w:r w:rsidRPr="00CF66D5">
        <w:rPr>
          <w:rFonts w:ascii="Times New Roman" w:eastAsia="Times New Roman" w:hAnsi="Times New Roman" w:cs="Times New Roman"/>
          <w:sz w:val="24"/>
          <w:szCs w:val="24"/>
          <w:lang w:eastAsia="ru-RU"/>
        </w:rPr>
        <w:t xml:space="preserve">, ул. Ленина, дом 10, </w:t>
      </w:r>
      <w:proofErr w:type="spellStart"/>
      <w:r w:rsidRPr="00CF66D5">
        <w:rPr>
          <w:rFonts w:ascii="Times New Roman" w:eastAsia="Times New Roman" w:hAnsi="Times New Roman" w:cs="Times New Roman"/>
          <w:sz w:val="24"/>
          <w:szCs w:val="24"/>
          <w:lang w:eastAsia="ru-RU"/>
        </w:rPr>
        <w:t>каб</w:t>
      </w:r>
      <w:proofErr w:type="spellEnd"/>
      <w:r w:rsidRPr="00CF66D5">
        <w:rPr>
          <w:rFonts w:ascii="Times New Roman" w:eastAsia="Times New Roman" w:hAnsi="Times New Roman" w:cs="Times New Roman"/>
          <w:sz w:val="24"/>
          <w:szCs w:val="24"/>
          <w:lang w:eastAsia="ru-RU"/>
        </w:rPr>
        <w:t xml:space="preserve">. 27, </w:t>
      </w:r>
      <w:r w:rsidRPr="00CF66D5">
        <w:rPr>
          <w:rFonts w:ascii="Times New Roman" w:eastAsia="Times New Roman" w:hAnsi="Times New Roman" w:cs="Times New Roman"/>
          <w:b/>
          <w:bCs/>
          <w:sz w:val="24"/>
          <w:szCs w:val="24"/>
          <w:lang w:eastAsia="ru-RU"/>
        </w:rPr>
        <w:t>тел. 52-170</w:t>
      </w:r>
      <w:r w:rsidRPr="00CF66D5">
        <w:rPr>
          <w:rFonts w:ascii="Times New Roman" w:eastAsia="Times New Roman" w:hAnsi="Times New Roman" w:cs="Times New Roman"/>
          <w:sz w:val="24"/>
          <w:szCs w:val="24"/>
          <w:lang w:eastAsia="ru-RU"/>
        </w:rPr>
        <w:t xml:space="preserve">, электронный адрес: </w:t>
      </w:r>
      <w:r w:rsidRPr="00CF66D5">
        <w:rPr>
          <w:rFonts w:ascii="Times New Roman" w:eastAsia="Times New Roman" w:hAnsi="Times New Roman" w:cs="Times New Roman"/>
          <w:b/>
          <w:bCs/>
          <w:sz w:val="24"/>
          <w:szCs w:val="24"/>
          <w:lang w:eastAsia="ru-RU"/>
        </w:rPr>
        <w:t>ekoabatsk@rambler.ru.</w:t>
      </w:r>
      <w:r w:rsidRPr="00CF66D5">
        <w:rPr>
          <w:rFonts w:ascii="Times New Roman" w:eastAsia="Times New Roman" w:hAnsi="Times New Roman" w:cs="Times New Roman"/>
          <w:sz w:val="24"/>
          <w:szCs w:val="24"/>
          <w:lang w:eastAsia="ru-RU"/>
        </w:rPr>
        <w:br/>
        <w:t xml:space="preserve">Прием заявок осуществляется </w:t>
      </w:r>
      <w:r w:rsidRPr="00CF66D5">
        <w:rPr>
          <w:rFonts w:ascii="Times New Roman" w:eastAsia="Times New Roman" w:hAnsi="Times New Roman" w:cs="Times New Roman"/>
          <w:b/>
          <w:bCs/>
          <w:sz w:val="24"/>
          <w:szCs w:val="24"/>
          <w:lang w:eastAsia="ru-RU"/>
        </w:rPr>
        <w:t>с 02 марта по 03 апреля 2019 года</w:t>
      </w:r>
      <w:r w:rsidRPr="00CF66D5">
        <w:rPr>
          <w:rFonts w:ascii="Times New Roman" w:eastAsia="Times New Roman" w:hAnsi="Times New Roman" w:cs="Times New Roman"/>
          <w:sz w:val="24"/>
          <w:szCs w:val="24"/>
          <w:lang w:eastAsia="ru-RU"/>
        </w:rPr>
        <w:t>, на основании результатов рассмотрения заявок принимается решение о допуске/не допуске к участию в конкурсе в отношении каждого Заявителя.</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b/>
          <w:bCs/>
          <w:sz w:val="24"/>
          <w:szCs w:val="24"/>
          <w:lang w:eastAsia="ru-RU"/>
        </w:rPr>
        <w:t xml:space="preserve">04 апреля 2019 года </w:t>
      </w:r>
      <w:r w:rsidRPr="00CF66D5">
        <w:rPr>
          <w:rFonts w:ascii="Times New Roman" w:eastAsia="Times New Roman" w:hAnsi="Times New Roman" w:cs="Times New Roman"/>
          <w:sz w:val="24"/>
          <w:szCs w:val="24"/>
          <w:lang w:eastAsia="ru-RU"/>
        </w:rPr>
        <w:t>проводится заседание конкурсной комиссии и формируется рейтинг заявок, допущенных к участию в конкурсе, на основании рейтинга заявок определяется победители конкурса – получателей финансовой поддержки в виде субсидий из числа участников конкурса, набравших наибольшее количество баллов (в случае равенства рейтинговой оценки преимущество отдается ранее зарегистрированной заявке). Субсидии победителям конкурса выплачиваются в пределах лимитов бюджетных обязательств.</w:t>
      </w:r>
    </w:p>
    <w:tbl>
      <w:tblPr>
        <w:tblW w:w="0" w:type="auto"/>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515"/>
        <w:gridCol w:w="4589"/>
        <w:gridCol w:w="3605"/>
        <w:gridCol w:w="796"/>
      </w:tblGrid>
      <w:tr w:rsidR="00CF66D5" w:rsidRPr="00CF66D5" w:rsidTr="00CF66D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 xml:space="preserve">№ </w:t>
            </w:r>
            <w:proofErr w:type="gramStart"/>
            <w:r w:rsidRPr="00CF66D5">
              <w:rPr>
                <w:rFonts w:ascii="Times New Roman" w:eastAsia="Times New Roman" w:hAnsi="Times New Roman" w:cs="Times New Roman"/>
                <w:sz w:val="24"/>
                <w:szCs w:val="24"/>
                <w:lang w:eastAsia="ru-RU"/>
              </w:rPr>
              <w:t>п</w:t>
            </w:r>
            <w:proofErr w:type="gramEnd"/>
            <w:r w:rsidRPr="00CF66D5">
              <w:rPr>
                <w:rFonts w:ascii="Times New Roman" w:eastAsia="Times New Roman" w:hAnsi="Times New Roman" w:cs="Times New Roman"/>
                <w:sz w:val="24"/>
                <w:szCs w:val="24"/>
                <w:lang w:eastAsia="ru-RU"/>
              </w:rPr>
              <w:t>/п</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Критерии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Баллы</w:t>
            </w:r>
          </w:p>
        </w:tc>
      </w:tr>
      <w:tr w:rsidR="00CF66D5" w:rsidRPr="00CF66D5" w:rsidTr="00CF66D5">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Сфера предпринимательской деятельности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Сельское хозяйство, производство продукции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25</w:t>
            </w:r>
          </w:p>
        </w:tc>
      </w:tr>
      <w:tr w:rsidR="00CF66D5" w:rsidRPr="00CF66D5" w:rsidTr="00CF66D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услуги населению (общественное питание, бытовые услуги, транспортные перевозки и т.д.)</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20</w:t>
            </w:r>
          </w:p>
        </w:tc>
      </w:tr>
      <w:tr w:rsidR="00CF66D5" w:rsidRPr="00CF66D5" w:rsidTr="00CF66D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развитие внутреннего и въездного туризма</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15</w:t>
            </w:r>
          </w:p>
        </w:tc>
      </w:tr>
      <w:tr w:rsidR="00CF66D5" w:rsidRPr="00CF66D5" w:rsidTr="00CF66D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прочее</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10</w:t>
            </w:r>
          </w:p>
        </w:tc>
      </w:tr>
      <w:tr w:rsidR="00CF66D5" w:rsidRPr="00CF66D5" w:rsidTr="00CF66D5">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2</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Динамика объема выручки за два года, предшествующих году подачи заявки для получения субсидии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увеличение показателя более 10 %</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15</w:t>
            </w:r>
          </w:p>
        </w:tc>
      </w:tr>
      <w:tr w:rsidR="00CF66D5" w:rsidRPr="00CF66D5" w:rsidTr="00CF66D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увеличение показателя до 10% включительно</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10</w:t>
            </w:r>
          </w:p>
        </w:tc>
      </w:tr>
      <w:tr w:rsidR="00CF66D5" w:rsidRPr="00CF66D5" w:rsidTr="00CF66D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снижение показателя</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0</w:t>
            </w:r>
          </w:p>
        </w:tc>
      </w:tr>
      <w:tr w:rsidR="00CF66D5" w:rsidRPr="00CF66D5" w:rsidTr="00CF66D5">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3</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Размер минимальной заработной платы штатных работников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превышает на 20 %</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20</w:t>
            </w:r>
          </w:p>
        </w:tc>
      </w:tr>
      <w:tr w:rsidR="00CF66D5" w:rsidRPr="00CF66D5" w:rsidTr="00CF66D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в соответствии с Соглашением*</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5</w:t>
            </w:r>
          </w:p>
        </w:tc>
      </w:tr>
      <w:tr w:rsidR="00CF66D5" w:rsidRPr="00CF66D5" w:rsidTr="00CF66D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показатель отсутствуют/ниже установленного Соглашением*</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0</w:t>
            </w:r>
          </w:p>
        </w:tc>
      </w:tr>
      <w:tr w:rsidR="00CF66D5" w:rsidRPr="00CF66D5" w:rsidTr="00CF66D5">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4</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Динамика среднесписочной численности рабочих мест за два года, предшествующих году подачи заявки для получения субсидии (чел.)</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увеличение более 3-х</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20</w:t>
            </w:r>
          </w:p>
        </w:tc>
      </w:tr>
      <w:tr w:rsidR="00CF66D5" w:rsidRPr="00CF66D5" w:rsidTr="00CF66D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увеличение от 1-х до 3-х</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15</w:t>
            </w:r>
          </w:p>
        </w:tc>
      </w:tr>
      <w:tr w:rsidR="00CF66D5" w:rsidRPr="00CF66D5" w:rsidTr="00CF66D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сохранение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5</w:t>
            </w:r>
          </w:p>
        </w:tc>
      </w:tr>
      <w:tr w:rsidR="00CF66D5" w:rsidRPr="00CF66D5" w:rsidTr="00CF66D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уменьшение/показатель отсутствует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0</w:t>
            </w:r>
          </w:p>
        </w:tc>
      </w:tr>
      <w:tr w:rsidR="00CF66D5" w:rsidRPr="00CF66D5" w:rsidTr="00CF66D5">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5</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 xml:space="preserve">Соотношение объема налоговых платежей </w:t>
            </w:r>
            <w:r w:rsidRPr="00CF66D5">
              <w:rPr>
                <w:rFonts w:ascii="Times New Roman" w:eastAsia="Times New Roman" w:hAnsi="Times New Roman" w:cs="Times New Roman"/>
                <w:sz w:val="24"/>
                <w:szCs w:val="24"/>
                <w:lang w:eastAsia="ru-RU"/>
              </w:rPr>
              <w:lastRenderedPageBreak/>
              <w:t>и платежей во внебюджетные фонды, уплаченных за предшествующий календарный год к размеру запрашиваемой субсидии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lastRenderedPageBreak/>
              <w:t>свыше 50%</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20</w:t>
            </w:r>
          </w:p>
        </w:tc>
      </w:tr>
      <w:tr w:rsidR="00CF66D5" w:rsidRPr="00CF66D5" w:rsidTr="00CF66D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от 30 до 50% включительно</w:t>
            </w:r>
          </w:p>
        </w:tc>
        <w:tc>
          <w:tcPr>
            <w:tcW w:w="0" w:type="auto"/>
            <w:tcBorders>
              <w:top w:val="outset" w:sz="6" w:space="0" w:color="auto"/>
              <w:left w:val="outset" w:sz="6" w:space="0" w:color="auto"/>
              <w:bottom w:val="outset" w:sz="6" w:space="0" w:color="auto"/>
              <w:right w:val="outset" w:sz="6" w:space="0" w:color="auto"/>
            </w:tcBorders>
            <w:vAlign w:val="center"/>
            <w:hideMark/>
          </w:tcPr>
          <w:p w:rsidR="00CF66D5" w:rsidRPr="00CF66D5" w:rsidRDefault="00CF66D5" w:rsidP="00CF66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15</w:t>
            </w:r>
          </w:p>
        </w:tc>
      </w:tr>
    </w:tbl>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Максимальная сумма баллов – 100.</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Минимальная сумма баллов – 25.</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sz w:val="24"/>
          <w:szCs w:val="24"/>
          <w:lang w:eastAsia="ru-RU"/>
        </w:rPr>
        <w:t>Заявки, набравшие по результатам оценки менее 25 баллов, в рейтинг не включаются.</w:t>
      </w: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p>
    <w:p w:rsidR="00CF66D5" w:rsidRPr="00CF66D5" w:rsidRDefault="00CF66D5" w:rsidP="00CF66D5">
      <w:pPr>
        <w:spacing w:before="100" w:beforeAutospacing="1" w:after="100" w:afterAutospacing="1" w:line="240" w:lineRule="auto"/>
        <w:rPr>
          <w:rFonts w:ascii="Times New Roman" w:eastAsia="Times New Roman" w:hAnsi="Times New Roman" w:cs="Times New Roman"/>
          <w:sz w:val="24"/>
          <w:szCs w:val="24"/>
          <w:lang w:eastAsia="ru-RU"/>
        </w:rPr>
      </w:pPr>
      <w:r w:rsidRPr="00CF66D5">
        <w:rPr>
          <w:rFonts w:ascii="Times New Roman" w:eastAsia="Times New Roman" w:hAnsi="Times New Roman" w:cs="Times New Roman"/>
          <w:b/>
          <w:bCs/>
          <w:sz w:val="24"/>
          <w:szCs w:val="24"/>
          <w:lang w:eastAsia="ru-RU"/>
        </w:rPr>
        <w:t>***Ознакомиться с текстом приложения к постановлению можно на официальном сайте Абатского муниципального района в сети Интернет (www.abatsk.admtyumen.ru) в разделе «Власть»/вкладка «Администрация» / «Нормативные правовые документы».</w:t>
      </w:r>
    </w:p>
    <w:p w:rsidR="00DD33D6" w:rsidRDefault="00DD33D6">
      <w:bookmarkStart w:id="0" w:name="_GoBack"/>
      <w:bookmarkEnd w:id="0"/>
    </w:p>
    <w:sectPr w:rsidR="00DD33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6D5"/>
    <w:rsid w:val="00CF66D5"/>
    <w:rsid w:val="00DD3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F66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F66D5"/>
    <w:rPr>
      <w:b/>
      <w:bCs/>
    </w:rPr>
  </w:style>
  <w:style w:type="character" w:styleId="a5">
    <w:name w:val="Emphasis"/>
    <w:basedOn w:val="a0"/>
    <w:uiPriority w:val="20"/>
    <w:qFormat/>
    <w:rsid w:val="00CF66D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F66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F66D5"/>
    <w:rPr>
      <w:b/>
      <w:bCs/>
    </w:rPr>
  </w:style>
  <w:style w:type="character" w:styleId="a5">
    <w:name w:val="Emphasis"/>
    <w:basedOn w:val="a0"/>
    <w:uiPriority w:val="20"/>
    <w:qFormat/>
    <w:rsid w:val="00CF66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192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1585</Words>
  <Characters>9036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Рябков Семён Александрович</dc:creator>
  <cp:lastModifiedBy>Рябков Семён Александрович</cp:lastModifiedBy>
  <cp:revision>1</cp:revision>
  <dcterms:created xsi:type="dcterms:W3CDTF">2019-04-16T10:58:00Z</dcterms:created>
  <dcterms:modified xsi:type="dcterms:W3CDTF">2019-04-16T10:59:00Z</dcterms:modified>
</cp:coreProperties>
</file>